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E8" w:rsidRPr="005123BE" w:rsidRDefault="00E761E8" w:rsidP="00E761E8">
      <w:pPr>
        <w:spacing w:line="276" w:lineRule="auto"/>
        <w:jc w:val="center"/>
        <w:rPr>
          <w:rFonts w:ascii="Sylfaen" w:hAnsi="Sylfaen"/>
          <w:b/>
          <w:sz w:val="24"/>
          <w:szCs w:val="24"/>
          <w:lang w:val="en-GB"/>
        </w:rPr>
      </w:pPr>
      <w:proofErr w:type="gramStart"/>
      <w:r>
        <w:rPr>
          <w:rFonts w:ascii="Sylfaen" w:hAnsi="Sylfaen"/>
          <w:b/>
          <w:sz w:val="24"/>
          <w:szCs w:val="24"/>
          <w:lang w:val="en-GB"/>
        </w:rPr>
        <w:t>21</w:t>
      </w:r>
      <w:r w:rsidRPr="005123BE">
        <w:rPr>
          <w:rFonts w:ascii="Sylfaen" w:hAnsi="Sylfaen"/>
          <w:b/>
          <w:sz w:val="24"/>
          <w:szCs w:val="24"/>
          <w:vertAlign w:val="superscript"/>
          <w:lang w:val="en-GB"/>
        </w:rPr>
        <w:t>th</w:t>
      </w:r>
      <w:proofErr w:type="gramEnd"/>
      <w:r w:rsidRPr="005123BE">
        <w:rPr>
          <w:rFonts w:ascii="Sylfaen" w:hAnsi="Sylfaen"/>
          <w:b/>
          <w:sz w:val="24"/>
          <w:szCs w:val="24"/>
          <w:lang w:val="en-GB"/>
        </w:rPr>
        <w:t xml:space="preserve"> Consolidated Report on the Conflict in Georgia</w:t>
      </w:r>
    </w:p>
    <w:p w:rsidR="00E761E8" w:rsidRPr="005123BE" w:rsidRDefault="00E761E8" w:rsidP="00E761E8">
      <w:pPr>
        <w:spacing w:line="276" w:lineRule="auto"/>
        <w:jc w:val="center"/>
        <w:rPr>
          <w:rFonts w:ascii="Sylfaen" w:hAnsi="Sylfaen"/>
          <w:b/>
          <w:sz w:val="24"/>
          <w:szCs w:val="24"/>
          <w:lang w:val="en-GB"/>
        </w:rPr>
      </w:pPr>
    </w:p>
    <w:p w:rsidR="00E761E8" w:rsidRPr="009C626B" w:rsidRDefault="00E761E8" w:rsidP="00E761E8">
      <w:pPr>
        <w:spacing w:line="276" w:lineRule="auto"/>
        <w:jc w:val="center"/>
        <w:rPr>
          <w:rFonts w:ascii="Sylfaen" w:hAnsi="Sylfaen"/>
          <w:b/>
          <w:sz w:val="24"/>
          <w:szCs w:val="24"/>
        </w:rPr>
      </w:pPr>
      <w:r w:rsidRPr="009C626B">
        <w:rPr>
          <w:rFonts w:ascii="Sylfaen" w:hAnsi="Sylfaen"/>
          <w:b/>
          <w:sz w:val="24"/>
          <w:szCs w:val="24"/>
        </w:rPr>
        <w:t>SMR</w:t>
      </w:r>
      <w:r>
        <w:rPr>
          <w:rFonts w:ascii="Sylfaen" w:hAnsi="Sylfaen"/>
          <w:b/>
          <w:sz w:val="24"/>
          <w:szCs w:val="24"/>
        </w:rPr>
        <w:t>CE</w:t>
      </w:r>
      <w:r w:rsidRPr="009C626B">
        <w:rPr>
          <w:rFonts w:ascii="Sylfaen" w:hAnsi="Sylfaen"/>
          <w:b/>
          <w:sz w:val="24"/>
          <w:szCs w:val="24"/>
        </w:rPr>
        <w:t xml:space="preserve"> Comments</w:t>
      </w:r>
    </w:p>
    <w:p w:rsidR="00E761E8" w:rsidRDefault="00E761E8" w:rsidP="00E761E8">
      <w:pPr>
        <w:spacing w:line="276" w:lineRule="auto"/>
      </w:pPr>
    </w:p>
    <w:p w:rsidR="00E761E8" w:rsidRDefault="00E761E8" w:rsidP="00E761E8">
      <w:pPr>
        <w:spacing w:line="276" w:lineRule="auto"/>
        <w:rPr>
          <w:rFonts w:ascii="Sylfaen" w:hAnsi="Sylfaen"/>
        </w:rPr>
      </w:pPr>
    </w:p>
    <w:p w:rsidR="00E761E8" w:rsidRDefault="00E761E8" w:rsidP="00E761E8">
      <w:pPr>
        <w:spacing w:line="276" w:lineRule="auto"/>
        <w:rPr>
          <w:rFonts w:ascii="Sylfaen" w:hAnsi="Sylfaen"/>
        </w:rPr>
      </w:pPr>
      <w:r w:rsidRPr="00965229">
        <w:rPr>
          <w:rFonts w:ascii="Sylfaen" w:hAnsi="Sylfaen"/>
          <w:u w:val="single"/>
        </w:rPr>
        <w:t>Content and factual information</w:t>
      </w:r>
      <w:r>
        <w:rPr>
          <w:rFonts w:ascii="Sylfaen" w:hAnsi="Sylfaen"/>
        </w:rPr>
        <w:t>:</w:t>
      </w:r>
    </w:p>
    <w:p w:rsidR="00E761E8" w:rsidRDefault="00E761E8" w:rsidP="00E761E8">
      <w:pPr>
        <w:spacing w:line="276" w:lineRule="auto"/>
        <w:rPr>
          <w:rFonts w:ascii="Sylfaen" w:hAnsi="Sylfaen"/>
        </w:rPr>
      </w:pPr>
    </w:p>
    <w:p w:rsidR="00E761E8" w:rsidRDefault="00E761E8" w:rsidP="00E761E8">
      <w:pPr>
        <w:pStyle w:val="ListParagraph"/>
        <w:numPr>
          <w:ilvl w:val="0"/>
          <w:numId w:val="1"/>
        </w:numPr>
        <w:spacing w:line="276" w:lineRule="auto"/>
        <w:ind w:left="450"/>
        <w:rPr>
          <w:rFonts w:ascii="Sylfaen" w:hAnsi="Sylfaen"/>
        </w:rPr>
      </w:pPr>
      <w:proofErr w:type="gramStart"/>
      <w:r>
        <w:rPr>
          <w:rFonts w:ascii="Sylfaen" w:hAnsi="Sylfaen"/>
        </w:rPr>
        <w:t xml:space="preserve">When saying that </w:t>
      </w:r>
      <w:r w:rsidRPr="004D517F">
        <w:rPr>
          <w:rFonts w:ascii="Sylfaen" w:hAnsi="Sylfaen"/>
          <w:i/>
        </w:rPr>
        <w:t>“t</w:t>
      </w:r>
      <w:r w:rsidRPr="004D517F">
        <w:rPr>
          <w:rFonts w:ascii="Sylfaen" w:hAnsi="Sylfaen" w:cs="Tahoma"/>
          <w:i/>
          <w:lang w:val="en-GB"/>
        </w:rPr>
        <w:t>he Secretariat was not given authorisation to visit Abkhazia and South Ossetia for the purpose of this consolidated report”</w:t>
      </w:r>
      <w:r>
        <w:rPr>
          <w:rFonts w:ascii="Sylfaen" w:hAnsi="Sylfaen"/>
        </w:rPr>
        <w:t xml:space="preserve"> in para 5, it is important to emphasize the role and responsibility of the Russian Federation and formulate the sentence in a following way: “</w:t>
      </w:r>
      <w:r w:rsidRPr="004D517F">
        <w:rPr>
          <w:rFonts w:ascii="Sylfaen" w:hAnsi="Sylfaen"/>
        </w:rPr>
        <w:t xml:space="preserve">“the Secretariat </w:t>
      </w:r>
      <w:r w:rsidRPr="004D517F">
        <w:rPr>
          <w:rFonts w:ascii="Sylfaen" w:hAnsi="Sylfaen"/>
          <w:b/>
        </w:rPr>
        <w:t>was not allowed by the Russian Federation</w:t>
      </w:r>
      <w:r w:rsidRPr="004D517F">
        <w:rPr>
          <w:rFonts w:ascii="Sylfaen" w:hAnsi="Sylfaen"/>
        </w:rPr>
        <w:t xml:space="preserve"> to visit Georgian regions of Abkhazia and Tskhinvali region/South Ossetia for the purpose of this consolidated report” </w:t>
      </w:r>
      <w:r w:rsidRPr="00BE5DDB">
        <w:rPr>
          <w:rFonts w:ascii="Sylfaen" w:hAnsi="Sylfaen"/>
        </w:rPr>
        <w:t>(as provided by CMD decisions)</w:t>
      </w:r>
      <w:r>
        <w:rPr>
          <w:rFonts w:ascii="Sylfaen" w:hAnsi="Sylfaen"/>
        </w:rPr>
        <w:t>.</w:t>
      </w:r>
      <w:proofErr w:type="gramEnd"/>
      <w:r>
        <w:rPr>
          <w:rFonts w:ascii="Sylfaen" w:hAnsi="Sylfaen"/>
        </w:rPr>
        <w:t xml:space="preserve">  </w:t>
      </w:r>
    </w:p>
    <w:p w:rsidR="00E761E8" w:rsidRDefault="00E37103" w:rsidP="00E761E8">
      <w:pPr>
        <w:pStyle w:val="ListParagraph"/>
        <w:numPr>
          <w:ilvl w:val="0"/>
          <w:numId w:val="1"/>
        </w:numPr>
        <w:spacing w:line="276" w:lineRule="auto"/>
        <w:ind w:left="450"/>
        <w:rPr>
          <w:rFonts w:ascii="Sylfaen" w:hAnsi="Sylfaen"/>
        </w:rPr>
      </w:pPr>
      <w:r>
        <w:rPr>
          <w:rFonts w:ascii="Sylfaen" w:hAnsi="Sylfaen"/>
        </w:rPr>
        <w:t>While para. 10</w:t>
      </w:r>
      <w:r w:rsidR="00E761E8">
        <w:rPr>
          <w:rFonts w:ascii="Sylfaen" w:hAnsi="Sylfaen"/>
        </w:rPr>
        <w:t xml:space="preserve"> refers to repeated walkouts “by some participants” leading to a disruption of the GID rounds, </w:t>
      </w:r>
      <w:r w:rsidR="00E761E8" w:rsidRPr="00A477BE">
        <w:rPr>
          <w:rFonts w:ascii="Sylfaen" w:hAnsi="Sylfaen"/>
        </w:rPr>
        <w:t xml:space="preserve">it is </w:t>
      </w:r>
      <w:r w:rsidR="00E761E8">
        <w:rPr>
          <w:rFonts w:ascii="Sylfaen" w:hAnsi="Sylfaen"/>
        </w:rPr>
        <w:t>necessary</w:t>
      </w:r>
      <w:r w:rsidR="00E761E8" w:rsidRPr="00A477BE">
        <w:rPr>
          <w:rFonts w:ascii="Sylfaen" w:hAnsi="Sylfaen"/>
        </w:rPr>
        <w:t xml:space="preserve"> to point to those responsible for such walkouts and obstructing discussions on </w:t>
      </w:r>
      <w:r w:rsidR="00E761E8">
        <w:rPr>
          <w:rFonts w:ascii="Sylfaen" w:hAnsi="Sylfaen"/>
        </w:rPr>
        <w:t xml:space="preserve">return of IDPs and refugees. Georgian side suggests having a direct reference to </w:t>
      </w:r>
      <w:r w:rsidR="00E761E8" w:rsidRPr="00DA6E8C">
        <w:rPr>
          <w:rFonts w:ascii="Sylfaen" w:hAnsi="Sylfaen"/>
          <w:b/>
        </w:rPr>
        <w:t>“walkouts by participants from Moscow, Sokhumi and Tskhinvali</w:t>
      </w:r>
      <w:r w:rsidR="00E761E8">
        <w:rPr>
          <w:rFonts w:ascii="Sylfaen" w:hAnsi="Sylfaen"/>
        </w:rPr>
        <w:t>”.</w:t>
      </w:r>
    </w:p>
    <w:p w:rsidR="006E2AF6" w:rsidRDefault="006E2AF6" w:rsidP="00E761E8">
      <w:pPr>
        <w:pStyle w:val="ListParagraph"/>
        <w:numPr>
          <w:ilvl w:val="0"/>
          <w:numId w:val="1"/>
        </w:numPr>
        <w:spacing w:line="276" w:lineRule="auto"/>
        <w:ind w:left="450"/>
        <w:rPr>
          <w:rFonts w:ascii="Sylfaen" w:hAnsi="Sylfaen"/>
        </w:rPr>
      </w:pPr>
      <w:r>
        <w:rPr>
          <w:rFonts w:ascii="Sylfaen" w:hAnsi="Sylfaen"/>
        </w:rPr>
        <w:t xml:space="preserve">With regard to para. 19, please note that the Office of the State Minister for Reconciliation and Civic Equality informed the delegation that the </w:t>
      </w:r>
      <w:r w:rsidR="00254169">
        <w:rPr>
          <w:rFonts w:ascii="Sylfaen" w:hAnsi="Sylfaen"/>
        </w:rPr>
        <w:t>“</w:t>
      </w:r>
      <w:r>
        <w:rPr>
          <w:rFonts w:ascii="Sylfaen" w:hAnsi="Sylfaen"/>
        </w:rPr>
        <w:t>Peace Fund for a Better Future</w:t>
      </w:r>
      <w:r w:rsidR="00254169">
        <w:rPr>
          <w:rFonts w:ascii="Sylfaen" w:hAnsi="Sylfaen"/>
        </w:rPr>
        <w:t>”</w:t>
      </w:r>
      <w:r>
        <w:rPr>
          <w:rFonts w:ascii="Sylfaen" w:hAnsi="Sylfaen"/>
        </w:rPr>
        <w:t>, a financial instrument established under the peace initiative “A Step to a Better Future” will be operational by February and not the initiative itself, which is already operation</w:t>
      </w:r>
      <w:r w:rsidR="00AC6501">
        <w:rPr>
          <w:rFonts w:ascii="Sylfaen" w:hAnsi="Sylfaen"/>
        </w:rPr>
        <w:t>al</w:t>
      </w:r>
      <w:r>
        <w:rPr>
          <w:rFonts w:ascii="Sylfaen" w:hAnsi="Sylfaen"/>
        </w:rPr>
        <w:t xml:space="preserve"> since 2019.</w:t>
      </w:r>
      <w:r w:rsidR="00254169">
        <w:rPr>
          <w:rFonts w:ascii="Sylfaen" w:hAnsi="Sylfaen"/>
        </w:rPr>
        <w:t xml:space="preserve"> Although February was indicated as an operational date, please note that SMRCE expects the Fund to become </w:t>
      </w:r>
      <w:proofErr w:type="gramStart"/>
      <w:r w:rsidR="00254169" w:rsidRPr="00984445">
        <w:rPr>
          <w:rFonts w:ascii="Sylfaen" w:hAnsi="Sylfaen"/>
          <w:b/>
        </w:rPr>
        <w:t>fully</w:t>
      </w:r>
      <w:r w:rsidR="00254169">
        <w:rPr>
          <w:rFonts w:ascii="Sylfaen" w:hAnsi="Sylfaen"/>
        </w:rPr>
        <w:t xml:space="preserve"> operational</w:t>
      </w:r>
      <w:proofErr w:type="gramEnd"/>
      <w:r w:rsidR="00254169">
        <w:rPr>
          <w:rFonts w:ascii="Sylfaen" w:hAnsi="Sylfaen"/>
        </w:rPr>
        <w:t xml:space="preserve"> in </w:t>
      </w:r>
      <w:r w:rsidR="00254169" w:rsidRPr="0038604C">
        <w:rPr>
          <w:rFonts w:ascii="Sylfaen" w:hAnsi="Sylfaen"/>
          <w:b/>
        </w:rPr>
        <w:t>spring 2020</w:t>
      </w:r>
      <w:r w:rsidR="00254169">
        <w:rPr>
          <w:rFonts w:ascii="Sylfaen" w:hAnsi="Sylfaen"/>
        </w:rPr>
        <w:t xml:space="preserve">. We will be grateful if you amend the date in the report. </w:t>
      </w:r>
    </w:p>
    <w:p w:rsidR="006E2AF6" w:rsidRDefault="00781295" w:rsidP="00E761E8">
      <w:pPr>
        <w:pStyle w:val="ListParagraph"/>
        <w:numPr>
          <w:ilvl w:val="0"/>
          <w:numId w:val="1"/>
        </w:numPr>
        <w:spacing w:line="276" w:lineRule="auto"/>
        <w:ind w:left="450"/>
        <w:rPr>
          <w:rFonts w:ascii="Sylfaen" w:hAnsi="Sylfaen"/>
        </w:rPr>
      </w:pPr>
      <w:r>
        <w:rPr>
          <w:rFonts w:ascii="Sylfaen" w:hAnsi="Sylfaen"/>
        </w:rPr>
        <w:t xml:space="preserve">In para. </w:t>
      </w:r>
      <w:proofErr w:type="gramStart"/>
      <w:r>
        <w:rPr>
          <w:rFonts w:ascii="Sylfaen" w:hAnsi="Sylfaen"/>
        </w:rPr>
        <w:t>20,</w:t>
      </w:r>
      <w:proofErr w:type="gramEnd"/>
      <w:r>
        <w:rPr>
          <w:rFonts w:ascii="Sylfaen" w:hAnsi="Sylfaen"/>
        </w:rPr>
        <w:t xml:space="preserve"> please note that the name of the new program is “Post-secondary education preparation program”.</w:t>
      </w:r>
    </w:p>
    <w:p w:rsidR="006E2AF6" w:rsidRDefault="004E0CB0" w:rsidP="00E761E8">
      <w:pPr>
        <w:pStyle w:val="ListParagraph"/>
        <w:numPr>
          <w:ilvl w:val="0"/>
          <w:numId w:val="1"/>
        </w:numPr>
        <w:spacing w:line="276" w:lineRule="auto"/>
        <w:ind w:left="450"/>
        <w:rPr>
          <w:rFonts w:ascii="Sylfaen" w:hAnsi="Sylfaen"/>
        </w:rPr>
      </w:pPr>
      <w:r>
        <w:rPr>
          <w:rFonts w:ascii="Sylfaen" w:hAnsi="Sylfaen"/>
        </w:rPr>
        <w:t>In footnote 10, please note that the number of applications was “around 400”, not “400”.</w:t>
      </w:r>
    </w:p>
    <w:p w:rsidR="006E2AF6" w:rsidRDefault="00A90172" w:rsidP="00E761E8">
      <w:pPr>
        <w:pStyle w:val="ListParagraph"/>
        <w:numPr>
          <w:ilvl w:val="0"/>
          <w:numId w:val="1"/>
        </w:numPr>
        <w:spacing w:line="276" w:lineRule="auto"/>
        <w:ind w:left="450"/>
        <w:rPr>
          <w:rFonts w:ascii="Sylfaen" w:hAnsi="Sylfaen"/>
        </w:rPr>
      </w:pPr>
      <w:r>
        <w:rPr>
          <w:rFonts w:ascii="Sylfaen" w:hAnsi="Sylfaen"/>
        </w:rPr>
        <w:t>With regard to para. 24</w:t>
      </w:r>
      <w:r>
        <w:rPr>
          <w:rFonts w:ascii="Sylfaen" w:hAnsi="Sylfaen"/>
        </w:rPr>
        <w:t xml:space="preserve"> speaking about</w:t>
      </w:r>
      <w:r>
        <w:rPr>
          <w:rFonts w:ascii="Sylfaen" w:hAnsi="Sylfaen"/>
        </w:rPr>
        <w:t xml:space="preserve"> no progress with respect to amendments to</w:t>
      </w:r>
      <w:r>
        <w:rPr>
          <w:rFonts w:ascii="Sylfaen" w:hAnsi="Sylfaen"/>
        </w:rPr>
        <w:t xml:space="preserve"> </w:t>
      </w:r>
      <w:r w:rsidRPr="00DA3F74">
        <w:rPr>
          <w:rFonts w:ascii="Sylfaen" w:hAnsi="Sylfaen"/>
        </w:rPr>
        <w:t>Georgi</w:t>
      </w:r>
      <w:r>
        <w:rPr>
          <w:rFonts w:ascii="Sylfaen" w:hAnsi="Sylfaen"/>
        </w:rPr>
        <w:t xml:space="preserve">a’s Law on Occupied Territories, </w:t>
      </w:r>
      <w:r>
        <w:rPr>
          <w:rFonts w:ascii="Sylfaen" w:hAnsi="Sylfaen"/>
        </w:rPr>
        <w:t xml:space="preserve">it should be underlined that the provisions of the mentioned law does in no way </w:t>
      </w:r>
      <w:r w:rsidRPr="00DA3F74">
        <w:rPr>
          <w:rFonts w:ascii="Sylfaen" w:hAnsi="Sylfaen"/>
        </w:rPr>
        <w:t xml:space="preserve">complicate </w:t>
      </w:r>
      <w:r>
        <w:rPr>
          <w:rFonts w:ascii="Sylfaen" w:hAnsi="Sylfaen"/>
        </w:rPr>
        <w:t xml:space="preserve">or impede </w:t>
      </w:r>
      <w:r w:rsidRPr="00DA3F74">
        <w:rPr>
          <w:rFonts w:ascii="Sylfaen" w:hAnsi="Sylfaen"/>
        </w:rPr>
        <w:t xml:space="preserve">the </w:t>
      </w:r>
      <w:r>
        <w:rPr>
          <w:rFonts w:ascii="Sylfaen" w:hAnsi="Sylfaen"/>
        </w:rPr>
        <w:t>work</w:t>
      </w:r>
      <w:r w:rsidRPr="00DA3F74">
        <w:rPr>
          <w:rFonts w:ascii="Sylfaen" w:hAnsi="Sylfaen"/>
        </w:rPr>
        <w:t xml:space="preserve"> of international </w:t>
      </w:r>
      <w:r>
        <w:rPr>
          <w:rFonts w:ascii="Sylfaen" w:hAnsi="Sylfaen"/>
        </w:rPr>
        <w:t>engagement and humanitarian activities in the occupied regions of Georgia</w:t>
      </w:r>
      <w:r w:rsidRPr="00DA3F74">
        <w:rPr>
          <w:rFonts w:ascii="Sylfaen" w:hAnsi="Sylfaen"/>
        </w:rPr>
        <w:t xml:space="preserve">. </w:t>
      </w:r>
      <w:r>
        <w:rPr>
          <w:rFonts w:ascii="Sylfaen" w:hAnsi="Sylfaen"/>
        </w:rPr>
        <w:t xml:space="preserve">There were not any kind of hindrances to projects or other forms of engagement due to the operation of the Law. Instead, the occupation regime impedes access to both regions, inter alia targeting the entry and operation of international actors on the ground that </w:t>
      </w:r>
      <w:proofErr w:type="gramStart"/>
      <w:r>
        <w:rPr>
          <w:rFonts w:ascii="Sylfaen" w:hAnsi="Sylfaen"/>
        </w:rPr>
        <w:t>is also reflected</w:t>
      </w:r>
      <w:proofErr w:type="gramEnd"/>
      <w:r>
        <w:rPr>
          <w:rFonts w:ascii="Sylfaen" w:hAnsi="Sylfaen"/>
        </w:rPr>
        <w:t xml:space="preserve"> in this Report.</w:t>
      </w:r>
    </w:p>
    <w:p w:rsidR="00EC056B" w:rsidRDefault="009F7173" w:rsidP="00E761E8">
      <w:pPr>
        <w:pStyle w:val="ListParagraph"/>
        <w:numPr>
          <w:ilvl w:val="0"/>
          <w:numId w:val="1"/>
        </w:numPr>
        <w:spacing w:line="276" w:lineRule="auto"/>
        <w:ind w:left="450"/>
        <w:rPr>
          <w:rFonts w:ascii="Sylfaen" w:hAnsi="Sylfaen"/>
        </w:rPr>
      </w:pPr>
      <w:r>
        <w:rPr>
          <w:rFonts w:ascii="Sylfaen" w:hAnsi="Sylfaen"/>
        </w:rPr>
        <w:t xml:space="preserve">With regard to para. </w:t>
      </w:r>
      <w:proofErr w:type="gramStart"/>
      <w:r>
        <w:rPr>
          <w:rFonts w:ascii="Sylfaen" w:hAnsi="Sylfaen"/>
        </w:rPr>
        <w:t>30,</w:t>
      </w:r>
      <w:proofErr w:type="gramEnd"/>
      <w:r>
        <w:rPr>
          <w:rFonts w:ascii="Sylfaen" w:hAnsi="Sylfaen"/>
        </w:rPr>
        <w:t xml:space="preserve"> please note that the occupation regime started to impose additional restrictions on movement from the beginning of March 2020 that resulted in full closure of </w:t>
      </w:r>
      <w:proofErr w:type="spellStart"/>
      <w:r>
        <w:rPr>
          <w:rFonts w:ascii="Sylfaen" w:hAnsi="Sylfaen"/>
        </w:rPr>
        <w:t>Enguri</w:t>
      </w:r>
      <w:proofErr w:type="spellEnd"/>
      <w:r>
        <w:rPr>
          <w:rFonts w:ascii="Sylfaen" w:hAnsi="Sylfaen"/>
        </w:rPr>
        <w:t xml:space="preserve"> bridge on March 14. </w:t>
      </w:r>
      <w:r>
        <w:rPr>
          <w:rFonts w:ascii="Sylfaen" w:hAnsi="Sylfaen"/>
        </w:rPr>
        <w:t>Georgian side</w:t>
      </w:r>
      <w:r>
        <w:rPr>
          <w:rFonts w:ascii="Sylfaen" w:hAnsi="Sylfaen"/>
        </w:rPr>
        <w:t xml:space="preserve"> asks the delegation to reflect this development in the report.</w:t>
      </w:r>
    </w:p>
    <w:p w:rsidR="00F1300A" w:rsidRDefault="00F1300A" w:rsidP="00E761E8">
      <w:pPr>
        <w:pStyle w:val="ListParagraph"/>
        <w:numPr>
          <w:ilvl w:val="0"/>
          <w:numId w:val="1"/>
        </w:numPr>
        <w:spacing w:line="276" w:lineRule="auto"/>
        <w:ind w:left="450"/>
        <w:rPr>
          <w:rFonts w:ascii="Sylfaen" w:hAnsi="Sylfaen"/>
        </w:rPr>
      </w:pPr>
      <w:r>
        <w:rPr>
          <w:rFonts w:ascii="Sylfaen" w:hAnsi="Sylfaen"/>
        </w:rPr>
        <w:t xml:space="preserve">In para. 37 and 38, please use “temporary residence permits” instead of “permanent residence permits” as these permits need to </w:t>
      </w:r>
      <w:proofErr w:type="gramStart"/>
      <w:r>
        <w:rPr>
          <w:rFonts w:ascii="Sylfaen" w:hAnsi="Sylfaen"/>
        </w:rPr>
        <w:t>be renewed</w:t>
      </w:r>
      <w:proofErr w:type="gramEnd"/>
      <w:r>
        <w:rPr>
          <w:rFonts w:ascii="Sylfaen" w:hAnsi="Sylfaen"/>
        </w:rPr>
        <w:t xml:space="preserve"> </w:t>
      </w:r>
      <w:r w:rsidR="00B34B8B">
        <w:rPr>
          <w:rFonts w:ascii="Sylfaen" w:hAnsi="Sylfaen"/>
        </w:rPr>
        <w:t xml:space="preserve">in </w:t>
      </w:r>
      <w:r>
        <w:rPr>
          <w:rFonts w:ascii="Sylfaen" w:hAnsi="Sylfaen"/>
        </w:rPr>
        <w:t>every 5 years.</w:t>
      </w:r>
    </w:p>
    <w:p w:rsidR="000644F6" w:rsidRPr="00B4333E" w:rsidRDefault="003E5FF4" w:rsidP="00B4333E">
      <w:pPr>
        <w:pStyle w:val="ListParagraph"/>
        <w:numPr>
          <w:ilvl w:val="0"/>
          <w:numId w:val="1"/>
        </w:numPr>
        <w:spacing w:line="276" w:lineRule="auto"/>
        <w:ind w:left="450"/>
        <w:rPr>
          <w:rFonts w:ascii="Sylfaen" w:hAnsi="Sylfaen"/>
        </w:rPr>
      </w:pPr>
      <w:r>
        <w:rPr>
          <w:rFonts w:ascii="Sylfaen" w:hAnsi="Sylfaen"/>
        </w:rPr>
        <w:lastRenderedPageBreak/>
        <w:t xml:space="preserve">With regard to para. </w:t>
      </w:r>
      <w:proofErr w:type="gramStart"/>
      <w:r>
        <w:rPr>
          <w:rFonts w:ascii="Sylfaen" w:hAnsi="Sylfaen"/>
        </w:rPr>
        <w:t>48,</w:t>
      </w:r>
      <w:proofErr w:type="gramEnd"/>
      <w:r>
        <w:rPr>
          <w:rFonts w:ascii="Sylfaen" w:hAnsi="Sylfaen"/>
        </w:rPr>
        <w:t xml:space="preserve"> please note that the practice of seizing of Tbilisi-produced medicine continued in March as well. </w:t>
      </w:r>
      <w:r w:rsidR="000644F6">
        <w:rPr>
          <w:rFonts w:ascii="Sylfaen" w:hAnsi="Sylfaen"/>
        </w:rPr>
        <w:t>Georgian side asks the delegation to reflect this in the report.</w:t>
      </w:r>
    </w:p>
    <w:p w:rsidR="00EC056B" w:rsidRDefault="00EC056B" w:rsidP="00EC056B">
      <w:pPr>
        <w:spacing w:line="276" w:lineRule="auto"/>
        <w:rPr>
          <w:rFonts w:ascii="Sylfaen" w:hAnsi="Sylfaen"/>
        </w:rPr>
      </w:pPr>
      <w:bookmarkStart w:id="0" w:name="_GoBack"/>
      <w:bookmarkEnd w:id="0"/>
    </w:p>
    <w:p w:rsidR="00E761E8" w:rsidRDefault="00E761E8" w:rsidP="00E761E8">
      <w:pPr>
        <w:spacing w:line="276" w:lineRule="auto"/>
        <w:rPr>
          <w:rFonts w:ascii="Sylfaen" w:hAnsi="Sylfaen"/>
        </w:rPr>
      </w:pPr>
      <w:r w:rsidRPr="00965229">
        <w:rPr>
          <w:rFonts w:ascii="Sylfaen" w:hAnsi="Sylfaen"/>
          <w:u w:val="single"/>
        </w:rPr>
        <w:t>Wording</w:t>
      </w:r>
      <w:r>
        <w:rPr>
          <w:rFonts w:ascii="Sylfaen" w:hAnsi="Sylfaen"/>
          <w:u w:val="single"/>
        </w:rPr>
        <w:t>s</w:t>
      </w:r>
      <w:r w:rsidRPr="00965229">
        <w:rPr>
          <w:rFonts w:ascii="Sylfaen" w:hAnsi="Sylfaen"/>
          <w:u w:val="single"/>
        </w:rPr>
        <w:t xml:space="preserve"> and terminology</w:t>
      </w:r>
      <w:r>
        <w:rPr>
          <w:rFonts w:ascii="Sylfaen" w:hAnsi="Sylfaen"/>
        </w:rPr>
        <w:t>:</w:t>
      </w:r>
    </w:p>
    <w:p w:rsidR="00E761E8" w:rsidRDefault="00E761E8" w:rsidP="00E761E8">
      <w:pPr>
        <w:spacing w:line="276" w:lineRule="auto"/>
        <w:rPr>
          <w:rFonts w:ascii="Sylfaen" w:hAnsi="Sylfaen"/>
        </w:rPr>
      </w:pPr>
    </w:p>
    <w:p w:rsidR="00E761E8" w:rsidRDefault="00E761E8" w:rsidP="00E761E8">
      <w:pPr>
        <w:spacing w:line="276" w:lineRule="auto"/>
        <w:rPr>
          <w:rFonts w:ascii="Sylfaen" w:hAnsi="Sylfaen"/>
        </w:rPr>
      </w:pPr>
      <w:r>
        <w:rPr>
          <w:rFonts w:ascii="Sylfaen" w:hAnsi="Sylfaen"/>
        </w:rPr>
        <w:t>Georgian side would suggest using the following wording throughout the text:</w:t>
      </w:r>
    </w:p>
    <w:p w:rsidR="00E761E8" w:rsidRDefault="00E761E8" w:rsidP="00E761E8">
      <w:pPr>
        <w:spacing w:line="276" w:lineRule="auto"/>
        <w:rPr>
          <w:rFonts w:ascii="Sylfaen" w:hAnsi="Sylfaen"/>
        </w:rPr>
      </w:pPr>
    </w:p>
    <w:p w:rsidR="00E761E8" w:rsidRDefault="00E761E8" w:rsidP="00E761E8">
      <w:pPr>
        <w:pStyle w:val="ListParagraph"/>
        <w:numPr>
          <w:ilvl w:val="0"/>
          <w:numId w:val="2"/>
        </w:numPr>
        <w:spacing w:line="276" w:lineRule="auto"/>
        <w:ind w:left="360"/>
        <w:rPr>
          <w:rFonts w:ascii="Sylfaen" w:hAnsi="Sylfaen"/>
        </w:rPr>
      </w:pPr>
      <w:r w:rsidRPr="0091349A">
        <w:rPr>
          <w:rFonts w:ascii="Sylfaen" w:hAnsi="Sylfaen"/>
        </w:rPr>
        <w:t>“August 2008 Russia-Georgia war” and “2008 Russia-Georgia war” in</w:t>
      </w:r>
      <w:r>
        <w:rPr>
          <w:rFonts w:ascii="Sylfaen" w:hAnsi="Sylfaen"/>
        </w:rPr>
        <w:t xml:space="preserve">stead of “August 2008 Conflict” </w:t>
      </w:r>
      <w:r>
        <w:rPr>
          <w:rFonts w:ascii="Sylfaen" w:hAnsi="Sylfaen"/>
        </w:rPr>
        <w:t xml:space="preserve">(para. </w:t>
      </w:r>
      <w:r>
        <w:rPr>
          <w:rFonts w:ascii="Sylfaen" w:hAnsi="Sylfaen"/>
        </w:rPr>
        <w:t>2</w:t>
      </w:r>
      <w:r>
        <w:rPr>
          <w:rFonts w:ascii="Sylfaen" w:hAnsi="Sylfaen"/>
        </w:rPr>
        <w:t>);</w:t>
      </w:r>
    </w:p>
    <w:p w:rsidR="00E761E8" w:rsidRDefault="00E761E8" w:rsidP="00E761E8">
      <w:pPr>
        <w:pStyle w:val="ListParagraph"/>
        <w:numPr>
          <w:ilvl w:val="0"/>
          <w:numId w:val="2"/>
        </w:numPr>
        <w:spacing w:line="276" w:lineRule="auto"/>
        <w:ind w:left="360"/>
        <w:rPr>
          <w:rFonts w:ascii="Sylfaen" w:hAnsi="Sylfaen"/>
        </w:rPr>
      </w:pPr>
      <w:r>
        <w:rPr>
          <w:rFonts w:ascii="Sylfaen" w:hAnsi="Sylfaen"/>
        </w:rPr>
        <w:t>“Abkhazia, Georgia” and “Tskhinvali region/South Ossetia, Georgia”, or, alternatively, “Georgian regions of Abkhazia and Tskhinvali region/South Ossetia”, instead of “Abkhazia” and “South Ossetia” (para. 5,</w:t>
      </w:r>
      <w:r>
        <w:rPr>
          <w:rFonts w:ascii="Sylfaen" w:hAnsi="Sylfaen"/>
        </w:rPr>
        <w:t xml:space="preserve"> </w:t>
      </w:r>
      <w:r w:rsidR="001F357B">
        <w:rPr>
          <w:rFonts w:ascii="Sylfaen" w:hAnsi="Sylfaen"/>
        </w:rPr>
        <w:t xml:space="preserve">9, </w:t>
      </w:r>
      <w:r>
        <w:rPr>
          <w:rFonts w:ascii="Sylfaen" w:hAnsi="Sylfaen"/>
        </w:rPr>
        <w:t xml:space="preserve">11, 18, </w:t>
      </w:r>
      <w:r w:rsidR="007953D5">
        <w:rPr>
          <w:rFonts w:ascii="Sylfaen" w:hAnsi="Sylfaen"/>
        </w:rPr>
        <w:t xml:space="preserve">20, 21, 22, </w:t>
      </w:r>
      <w:r w:rsidR="001F357B">
        <w:rPr>
          <w:rFonts w:ascii="Sylfaen" w:hAnsi="Sylfaen"/>
        </w:rPr>
        <w:t xml:space="preserve">23, </w:t>
      </w:r>
      <w:r w:rsidR="007953D5">
        <w:rPr>
          <w:rFonts w:ascii="Sylfaen" w:hAnsi="Sylfaen"/>
        </w:rPr>
        <w:t xml:space="preserve">26, 44, </w:t>
      </w:r>
      <w:r w:rsidR="001F357B">
        <w:rPr>
          <w:rFonts w:ascii="Sylfaen" w:hAnsi="Sylfaen"/>
        </w:rPr>
        <w:t xml:space="preserve">47, 53, </w:t>
      </w:r>
      <w:r w:rsidR="007953D5">
        <w:rPr>
          <w:rFonts w:ascii="Sylfaen" w:hAnsi="Sylfaen"/>
        </w:rPr>
        <w:t>63,</w:t>
      </w:r>
      <w:r w:rsidR="001F357B">
        <w:rPr>
          <w:rFonts w:ascii="Sylfaen" w:hAnsi="Sylfaen"/>
        </w:rPr>
        <w:t xml:space="preserve"> 67, 69,</w:t>
      </w:r>
      <w:r w:rsidR="007953D5">
        <w:rPr>
          <w:rFonts w:ascii="Sylfaen" w:hAnsi="Sylfaen"/>
        </w:rPr>
        <w:t xml:space="preserve"> Part III.1, III.1.v, </w:t>
      </w:r>
      <w:r w:rsidR="001F357B">
        <w:rPr>
          <w:rFonts w:ascii="Sylfaen" w:hAnsi="Sylfaen"/>
        </w:rPr>
        <w:t>III.2</w:t>
      </w:r>
      <w:r>
        <w:rPr>
          <w:rFonts w:ascii="Sylfaen" w:hAnsi="Sylfaen"/>
        </w:rPr>
        <w:t>);</w:t>
      </w:r>
    </w:p>
    <w:p w:rsidR="00E761E8" w:rsidRDefault="00D70D82" w:rsidP="00E761E8">
      <w:pPr>
        <w:pStyle w:val="ListParagraph"/>
        <w:numPr>
          <w:ilvl w:val="0"/>
          <w:numId w:val="2"/>
        </w:numPr>
        <w:spacing w:line="276" w:lineRule="auto"/>
        <w:ind w:left="360"/>
        <w:rPr>
          <w:rFonts w:ascii="Sylfaen" w:hAnsi="Sylfaen"/>
        </w:rPr>
      </w:pPr>
      <w:r>
        <w:rPr>
          <w:rFonts w:ascii="Sylfaen" w:hAnsi="Sylfaen"/>
        </w:rPr>
        <w:t>“Illegal detention</w:t>
      </w:r>
      <w:r w:rsidR="00E761E8">
        <w:rPr>
          <w:rFonts w:ascii="Sylfaen" w:hAnsi="Sylfaen"/>
        </w:rPr>
        <w:t>” and “illegal d</w:t>
      </w:r>
      <w:r>
        <w:rPr>
          <w:rFonts w:ascii="Sylfaen" w:hAnsi="Sylfaen"/>
        </w:rPr>
        <w:t>etainees” instead of “detention</w:t>
      </w:r>
      <w:r w:rsidR="00E761E8">
        <w:rPr>
          <w:rFonts w:ascii="Sylfaen" w:hAnsi="Sylfaen"/>
        </w:rPr>
        <w:t xml:space="preserve">” and “detainees” (para. </w:t>
      </w:r>
      <w:r>
        <w:rPr>
          <w:rFonts w:ascii="Sylfaen" w:hAnsi="Sylfaen"/>
        </w:rPr>
        <w:t>9 and 51</w:t>
      </w:r>
      <w:r w:rsidR="00E761E8">
        <w:rPr>
          <w:rFonts w:ascii="Sylfaen" w:hAnsi="Sylfaen"/>
        </w:rPr>
        <w:t>);</w:t>
      </w:r>
    </w:p>
    <w:p w:rsidR="00E761E8" w:rsidRDefault="00E761E8" w:rsidP="00E761E8">
      <w:pPr>
        <w:pStyle w:val="ListParagraph"/>
        <w:numPr>
          <w:ilvl w:val="0"/>
          <w:numId w:val="2"/>
        </w:numPr>
        <w:spacing w:line="276" w:lineRule="auto"/>
        <w:ind w:left="360"/>
        <w:rPr>
          <w:rFonts w:ascii="Sylfaen" w:hAnsi="Sylfaen"/>
        </w:rPr>
      </w:pPr>
      <w:r>
        <w:rPr>
          <w:rFonts w:ascii="Sylfaen" w:hAnsi="Sylfaen"/>
        </w:rPr>
        <w:t xml:space="preserve">“Sokhumi” </w:t>
      </w:r>
      <w:r w:rsidR="00B7348E">
        <w:rPr>
          <w:rFonts w:ascii="Sylfaen" w:hAnsi="Sylfaen"/>
        </w:rPr>
        <w:t>is a proper name</w:t>
      </w:r>
      <w:r>
        <w:rPr>
          <w:rFonts w:ascii="Sylfaen" w:hAnsi="Sylfaen"/>
        </w:rPr>
        <w:t xml:space="preserve"> and should be used instead of “Sukhumi” (para. </w:t>
      </w:r>
      <w:r w:rsidR="00B7348E">
        <w:rPr>
          <w:rFonts w:ascii="Sylfaen" w:hAnsi="Sylfaen"/>
        </w:rPr>
        <w:t>5, 63, 64, 65, 66, 69</w:t>
      </w:r>
      <w:r>
        <w:rPr>
          <w:rFonts w:ascii="Sylfaen" w:hAnsi="Sylfaen"/>
        </w:rPr>
        <w:t xml:space="preserve">);  </w:t>
      </w:r>
    </w:p>
    <w:p w:rsidR="00E761E8" w:rsidRPr="0091349A" w:rsidRDefault="00E761E8" w:rsidP="00E761E8">
      <w:pPr>
        <w:pStyle w:val="ListParagraph"/>
        <w:numPr>
          <w:ilvl w:val="0"/>
          <w:numId w:val="2"/>
        </w:numPr>
        <w:spacing w:line="276" w:lineRule="auto"/>
        <w:ind w:left="360"/>
        <w:rPr>
          <w:rFonts w:ascii="Sylfaen" w:hAnsi="Sylfaen"/>
        </w:rPr>
      </w:pPr>
      <w:r>
        <w:rPr>
          <w:rFonts w:ascii="Sylfaen" w:hAnsi="Sylfaen"/>
        </w:rPr>
        <w:t>“</w:t>
      </w:r>
      <w:proofErr w:type="gramStart"/>
      <w:r>
        <w:rPr>
          <w:rFonts w:ascii="Sylfaen" w:hAnsi="Sylfaen"/>
        </w:rPr>
        <w:t>so-</w:t>
      </w:r>
      <w:r w:rsidRPr="00645F05">
        <w:rPr>
          <w:rFonts w:ascii="Sylfaen" w:hAnsi="Sylfaen"/>
        </w:rPr>
        <w:t>called</w:t>
      </w:r>
      <w:proofErr w:type="gramEnd"/>
      <w:r w:rsidRPr="00645F05">
        <w:rPr>
          <w:rFonts w:ascii="Sylfaen" w:hAnsi="Sylfaen"/>
        </w:rPr>
        <w:t xml:space="preserve"> lower </w:t>
      </w:r>
      <w:proofErr w:type="spellStart"/>
      <w:r w:rsidRPr="00645F05">
        <w:rPr>
          <w:rFonts w:ascii="Sylfaen" w:hAnsi="Sylfaen"/>
        </w:rPr>
        <w:t>Gali</w:t>
      </w:r>
      <w:proofErr w:type="spellEnd"/>
      <w:r w:rsidRPr="00645F05">
        <w:rPr>
          <w:rFonts w:ascii="Sylfaen" w:hAnsi="Sylfaen"/>
        </w:rPr>
        <w:t xml:space="preserve">” instead of “lower </w:t>
      </w:r>
      <w:proofErr w:type="spellStart"/>
      <w:r w:rsidRPr="00645F05">
        <w:rPr>
          <w:rFonts w:ascii="Sylfaen" w:hAnsi="Sylfaen"/>
        </w:rPr>
        <w:t>Gali</w:t>
      </w:r>
      <w:proofErr w:type="spellEnd"/>
      <w:r w:rsidRPr="00645F05">
        <w:rPr>
          <w:rFonts w:ascii="Sylfaen" w:hAnsi="Sylfaen"/>
        </w:rPr>
        <w:t xml:space="preserve">” and “so-called upper </w:t>
      </w:r>
      <w:proofErr w:type="spellStart"/>
      <w:r w:rsidRPr="00645F05">
        <w:rPr>
          <w:rFonts w:ascii="Sylfaen" w:hAnsi="Sylfaen"/>
        </w:rPr>
        <w:t>Gali</w:t>
      </w:r>
      <w:proofErr w:type="spellEnd"/>
      <w:r w:rsidRPr="00645F05">
        <w:rPr>
          <w:rFonts w:ascii="Sylfaen" w:hAnsi="Sylfaen"/>
        </w:rPr>
        <w:t xml:space="preserve">” instead of “upper </w:t>
      </w:r>
      <w:proofErr w:type="spellStart"/>
      <w:r w:rsidRPr="00645F05">
        <w:rPr>
          <w:rFonts w:ascii="Sylfaen" w:hAnsi="Sylfaen"/>
        </w:rPr>
        <w:t>Gali</w:t>
      </w:r>
      <w:proofErr w:type="spellEnd"/>
      <w:r w:rsidRPr="00645F05">
        <w:rPr>
          <w:rFonts w:ascii="Sylfaen" w:hAnsi="Sylfaen"/>
        </w:rPr>
        <w:t>”</w:t>
      </w:r>
      <w:r>
        <w:rPr>
          <w:rFonts w:ascii="Sylfaen" w:hAnsi="Sylfaen"/>
        </w:rPr>
        <w:t xml:space="preserve"> (para. </w:t>
      </w:r>
      <w:r w:rsidR="00B7348E">
        <w:rPr>
          <w:rFonts w:ascii="Sylfaen" w:hAnsi="Sylfaen"/>
        </w:rPr>
        <w:t>40 and 49</w:t>
      </w:r>
      <w:r>
        <w:rPr>
          <w:rFonts w:ascii="Sylfaen" w:hAnsi="Sylfaen"/>
        </w:rPr>
        <w:t xml:space="preserve">). </w:t>
      </w:r>
    </w:p>
    <w:p w:rsidR="00E761E8" w:rsidRDefault="00E761E8" w:rsidP="00E761E8">
      <w:pPr>
        <w:spacing w:line="276" w:lineRule="auto"/>
        <w:rPr>
          <w:rFonts w:ascii="Sylfaen" w:hAnsi="Sylfaen"/>
        </w:rPr>
      </w:pPr>
    </w:p>
    <w:p w:rsidR="00E761E8" w:rsidRDefault="00E761E8" w:rsidP="00E761E8">
      <w:pPr>
        <w:spacing w:line="276" w:lineRule="auto"/>
        <w:rPr>
          <w:rFonts w:ascii="Sylfaen" w:hAnsi="Sylfaen"/>
        </w:rPr>
      </w:pPr>
    </w:p>
    <w:p w:rsidR="00E761E8" w:rsidRDefault="00E761E8" w:rsidP="00E761E8">
      <w:pPr>
        <w:spacing w:line="276" w:lineRule="auto"/>
        <w:rPr>
          <w:rFonts w:ascii="Sylfaen" w:hAnsi="Sylfaen"/>
        </w:rPr>
      </w:pPr>
    </w:p>
    <w:p w:rsidR="00E761E8" w:rsidRPr="00157FAC" w:rsidRDefault="00E761E8" w:rsidP="00E761E8">
      <w:pPr>
        <w:spacing w:line="276" w:lineRule="auto"/>
        <w:rPr>
          <w:rFonts w:ascii="Sylfaen" w:hAnsi="Sylfaen"/>
        </w:rPr>
      </w:pPr>
    </w:p>
    <w:p w:rsidR="00FC54CE" w:rsidRDefault="00FC54CE"/>
    <w:sectPr w:rsidR="00FC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46E0A"/>
    <w:multiLevelType w:val="hybridMultilevel"/>
    <w:tmpl w:val="3998D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01875"/>
    <w:multiLevelType w:val="hybridMultilevel"/>
    <w:tmpl w:val="B254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E8"/>
    <w:rsid w:val="00015611"/>
    <w:rsid w:val="000644F6"/>
    <w:rsid w:val="001F357B"/>
    <w:rsid w:val="00254169"/>
    <w:rsid w:val="00352C47"/>
    <w:rsid w:val="0038604C"/>
    <w:rsid w:val="003E5FF4"/>
    <w:rsid w:val="004E0CB0"/>
    <w:rsid w:val="006E2AF6"/>
    <w:rsid w:val="00781295"/>
    <w:rsid w:val="007953D5"/>
    <w:rsid w:val="00984445"/>
    <w:rsid w:val="009E5F86"/>
    <w:rsid w:val="009F7173"/>
    <w:rsid w:val="00A90172"/>
    <w:rsid w:val="00AC6501"/>
    <w:rsid w:val="00B34B8B"/>
    <w:rsid w:val="00B4333E"/>
    <w:rsid w:val="00B7348E"/>
    <w:rsid w:val="00D70D82"/>
    <w:rsid w:val="00E37103"/>
    <w:rsid w:val="00E761E8"/>
    <w:rsid w:val="00EC056B"/>
    <w:rsid w:val="00F1300A"/>
    <w:rsid w:val="00FC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0877"/>
  <w15:chartTrackingRefBased/>
  <w15:docId w15:val="{FB10437E-B3B5-4C27-A9CC-A5C58431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Kochoradze</dc:creator>
  <cp:keywords/>
  <dc:description/>
  <cp:lastModifiedBy>Tamar Kochoradze</cp:lastModifiedBy>
  <cp:revision>27</cp:revision>
  <dcterms:created xsi:type="dcterms:W3CDTF">2020-03-18T09:37:00Z</dcterms:created>
  <dcterms:modified xsi:type="dcterms:W3CDTF">2020-03-18T11:32:00Z</dcterms:modified>
</cp:coreProperties>
</file>